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8" w:rsidRPr="001A75F0" w:rsidRDefault="00AE3B08" w:rsidP="001A75F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48"/>
          <w:szCs w:val="52"/>
          <w:lang w:eastAsia="ru-RU"/>
        </w:rPr>
      </w:pPr>
      <w:r w:rsidRPr="001A75F0">
        <w:rPr>
          <w:rFonts w:ascii="Times New Roman" w:eastAsia="Times New Roman" w:hAnsi="Times New Roman" w:cs="Times New Roman"/>
          <w:color w:val="666666"/>
          <w:sz w:val="48"/>
          <w:szCs w:val="52"/>
          <w:lang w:eastAsia="ru-RU"/>
        </w:rPr>
        <w:t>Методические рекомендации по временному трудоустройству несовершеннолетних</w:t>
      </w:r>
    </w:p>
    <w:p w:rsidR="00B82C59" w:rsidRPr="006450C7" w:rsidRDefault="00AE3B08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t>Временная занятость подростков – это общедоступная трудовая деятельность, имеющая социально-полезную направленность, организуемая для несовершеннолетних граждан в возрасте от 14 до 18 лет.</w:t>
      </w:r>
    </w:p>
    <w:p w:rsidR="00B82C59" w:rsidRPr="006450C7" w:rsidRDefault="00B82C59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Отношения между центрами занятости населения и работодателями регулируются договорами об организации временного трудоустройства несовершеннолетних граждан в возрасте от 14 до 18 лет. </w:t>
      </w:r>
    </w:p>
    <w:p w:rsidR="00B82C59" w:rsidRPr="006450C7" w:rsidRDefault="00B82C59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>Работодателями могут выступать организации любых форм собственности. В договорах определяются права и обязанности сторон по организации и проведению работ. Условия договора определяют количество рабочих мест по видам работ, сроки проведения работ, порядок и сроки оплаты выполненных работ и оказания материальной поддержки несовершеннолетних граждан, сумму затрат из сре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аевого бюджета и средств работодателя на финансирование временных работ, требования по обеспечению условий охраны труда. </w:t>
      </w:r>
    </w:p>
    <w:p w:rsidR="00B82C59" w:rsidRPr="006450C7" w:rsidRDefault="00B82C59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Работодатель берет на себя следующие основные обязательства: </w:t>
      </w: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организовать рабочие места для выполнения временных работ; </w:t>
      </w: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принять на работу несовершеннолетних граждан, направленных центром занятости; заключить с направленными гражданами срочные трудовые договоры; производить выплату заработной платы работникам своевременно, соразмерно объему выполненных работ или отработанному времени (оплата производится в соответствии с нормами и расценками, действующими у работодателя, но не ниже минимального размера оплаты труда); соблюдать законодательство Российской Федерации о </w:t>
      </w:r>
      <w:r w:rsidR="006450C7">
        <w:rPr>
          <w:rFonts w:ascii="Times New Roman" w:hAnsi="Times New Roman" w:cs="Times New Roman"/>
          <w:sz w:val="28"/>
          <w:szCs w:val="28"/>
        </w:rPr>
        <w:t xml:space="preserve">труде и социальном страховании. </w:t>
      </w:r>
      <w:r w:rsidRPr="006450C7">
        <w:rPr>
          <w:rFonts w:ascii="Times New Roman" w:hAnsi="Times New Roman" w:cs="Times New Roman"/>
          <w:sz w:val="28"/>
          <w:szCs w:val="28"/>
        </w:rPr>
        <w:t>В договоре указываются: обязательства работодателя на участие в профессиональной ориентации участников временного трудоустройства (при согласии работодателя); обязательства работодателя по трудоустройству на неопределенный срок несовершеннолетних граждан, отобранных Работодателем для замещения свободных рабочих мест (вакантных должностей) из числа участвующих во временном трудоустройстве (при согласии работодателя).</w:t>
      </w:r>
    </w:p>
    <w:p w:rsidR="0067729C" w:rsidRPr="006450C7" w:rsidRDefault="00B82C59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занятость несовершеннолетних работников: Трудовой Кодекс Российской Федерации от 30.12.2001 № 197-ФЗ (далее – «ТК РФ»);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(постановление Правительства Российской Федерации от 25.02.2000 № 163); нормы предельно допустимых нагрузок для лиц моложе восемнадцати лет при подъеме и перемещении тяжестей вручную (постановление Министерства труда и социального развития Российской Федерации от 07.04.1999 № 7); </w:t>
      </w:r>
      <w:proofErr w:type="spellStart"/>
      <w:r w:rsidRPr="006450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50C7">
        <w:rPr>
          <w:rFonts w:ascii="Times New Roman" w:hAnsi="Times New Roman" w:cs="Times New Roman"/>
          <w:sz w:val="28"/>
          <w:szCs w:val="28"/>
        </w:rPr>
        <w:t xml:space="preserve"> 4.6.2553-09 «Санитарно-эпидемиологические требования к безопасности условий труда работников, не достигших 18-летнего возраста» </w:t>
      </w:r>
      <w:r w:rsidRPr="006450C7">
        <w:rPr>
          <w:rFonts w:ascii="Times New Roman" w:hAnsi="Times New Roman" w:cs="Times New Roman"/>
          <w:sz w:val="28"/>
          <w:szCs w:val="28"/>
        </w:rPr>
        <w:lastRenderedPageBreak/>
        <w:t xml:space="preserve">(постановление Главного государственного санитарного врача Российской Федерации от 30.09.2009 № 58). </w:t>
      </w:r>
      <w:r w:rsidR="0067729C" w:rsidRPr="0064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9C" w:rsidRPr="006450C7" w:rsidRDefault="00B82C59" w:rsidP="006450C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допускается с лицами, достигшими возраста 16 лет, за исключением случаев, предусмотренных ТК РФ, другими федеральными законами.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 Лица, достигшие возраста 15 лет и в соответствии с федеральным 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 </w:t>
      </w:r>
    </w:p>
    <w:p w:rsidR="0067729C" w:rsidRPr="006450C7" w:rsidRDefault="00B82C59" w:rsidP="006450C7">
      <w:pPr>
        <w:pStyle w:val="a7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450C7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его здоровью и без ущерба для освоения образовательной программы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50C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450C7">
        <w:rPr>
          <w:rFonts w:ascii="Times New Roman" w:hAnsi="Times New Roman" w:cs="Times New Roman"/>
          <w:i/>
          <w:iCs/>
          <w:sz w:val="28"/>
          <w:szCs w:val="28"/>
        </w:rPr>
        <w:t>т. 63 ТК РФ.</w:t>
      </w: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50C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50C7">
        <w:rPr>
          <w:rFonts w:ascii="Times New Roman" w:hAnsi="Times New Roman" w:cs="Times New Roman"/>
          <w:sz w:val="28"/>
          <w:szCs w:val="28"/>
        </w:rPr>
        <w:t xml:space="preserve">Лица в возрасте до 18 лет принимаются на работу только после </w:t>
      </w:r>
      <w:r w:rsidRPr="006450C7">
        <w:rPr>
          <w:rFonts w:ascii="Times New Roman" w:hAnsi="Times New Roman" w:cs="Times New Roman"/>
          <w:sz w:val="28"/>
          <w:szCs w:val="28"/>
          <w:u w:val="single"/>
        </w:rPr>
        <w:t>предварительного обязательного медицинского осмотра</w:t>
      </w:r>
      <w:r w:rsidRPr="006450C7">
        <w:rPr>
          <w:rFonts w:ascii="Times New Roman" w:hAnsi="Times New Roman" w:cs="Times New Roman"/>
          <w:sz w:val="28"/>
          <w:szCs w:val="28"/>
        </w:rPr>
        <w:t xml:space="preserve">, осуществляемого за счет средств работодателя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69, 266 ТК РФ. </w:t>
      </w:r>
      <w:r w:rsidRPr="006450C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Несовершеннолетние принимаются на работу </w:t>
      </w:r>
      <w:r w:rsidRPr="006450C7">
        <w:rPr>
          <w:rFonts w:ascii="Times New Roman" w:hAnsi="Times New Roman" w:cs="Times New Roman"/>
          <w:sz w:val="28"/>
          <w:szCs w:val="28"/>
          <w:u w:val="single"/>
        </w:rPr>
        <w:t>без испытательного срока</w:t>
      </w:r>
      <w:r w:rsidRPr="006450C7">
        <w:rPr>
          <w:rFonts w:ascii="Times New Roman" w:hAnsi="Times New Roman" w:cs="Times New Roman"/>
          <w:sz w:val="28"/>
          <w:szCs w:val="28"/>
        </w:rPr>
        <w:t xml:space="preserve">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70 ТК РФ.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Особенности трудоустройства лиц в возрасте до 18 лет определяются трудовым законодательством, коллективным договором, соглашением –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ст. 272 ТК РФ. </w:t>
      </w:r>
    </w:p>
    <w:p w:rsidR="0067729C" w:rsidRPr="006450C7" w:rsidRDefault="00B82C59" w:rsidP="006450C7">
      <w:pPr>
        <w:pStyle w:val="a7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450C7">
        <w:rPr>
          <w:rFonts w:ascii="Times New Roman" w:hAnsi="Times New Roman" w:cs="Times New Roman"/>
          <w:sz w:val="28"/>
          <w:szCs w:val="28"/>
        </w:rPr>
        <w:t xml:space="preserve">Стандартный перечень документов, которые несовершеннолетний работник должен представить работодателю при трудоустройстве: - </w:t>
      </w:r>
      <w:r w:rsidRPr="00E96FBF">
        <w:rPr>
          <w:rFonts w:ascii="Times New Roman" w:hAnsi="Times New Roman" w:cs="Times New Roman"/>
          <w:sz w:val="28"/>
          <w:szCs w:val="28"/>
          <w:highlight w:val="yellow"/>
        </w:rPr>
        <w:t>паспорт</w:t>
      </w:r>
      <w:r w:rsidRPr="006450C7">
        <w:rPr>
          <w:rFonts w:ascii="Times New Roman" w:hAnsi="Times New Roman" w:cs="Times New Roman"/>
          <w:sz w:val="28"/>
          <w:szCs w:val="28"/>
        </w:rPr>
        <w:t xml:space="preserve"> или иной документ, удостоверяющий личность; - трудовая книжка, за исключением случаев, когда трудовой договор заключается впервые или работник поступает на работу на условиях совместительства; - </w:t>
      </w:r>
      <w:r w:rsidRPr="00E96FBF">
        <w:rPr>
          <w:rFonts w:ascii="Times New Roman" w:hAnsi="Times New Roman" w:cs="Times New Roman"/>
          <w:sz w:val="28"/>
          <w:szCs w:val="28"/>
          <w:highlight w:val="yellow"/>
        </w:rPr>
        <w:t>страховое свидетельство обязательного пенсионного страхования;</w:t>
      </w:r>
      <w:r w:rsidRPr="006450C7">
        <w:rPr>
          <w:rFonts w:ascii="Times New Roman" w:hAnsi="Times New Roman" w:cs="Times New Roman"/>
          <w:sz w:val="28"/>
          <w:szCs w:val="28"/>
        </w:rPr>
        <w:t xml:space="preserve"> - документы воинского учета – для военнообязанных и лиц, подлежащих призыву на военную службу;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 - письменное согласие одного из родителей (попечителя) и специалиста отдела опеки и попечительства (заявление в произвольной форме, запись о согласии на заявлении несовершеннолетнего о приеме на работу или на трудовом договоре (для несовершеннолетних 14-15 лет));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- справка о прохождении медосмотра. Подростку, впервые поступающему на работу, работодатель </w:t>
      </w:r>
      <w:r w:rsidRPr="006450C7">
        <w:rPr>
          <w:rFonts w:ascii="Times New Roman" w:hAnsi="Times New Roman" w:cs="Times New Roman"/>
          <w:sz w:val="28"/>
          <w:szCs w:val="28"/>
        </w:rPr>
        <w:lastRenderedPageBreak/>
        <w:t>должен оформить трудовую книжку и страховое свидетельство обязательного пенсионного страхования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0C7">
        <w:rPr>
          <w:rFonts w:ascii="Times New Roman" w:hAnsi="Times New Roman" w:cs="Times New Roman"/>
          <w:sz w:val="28"/>
          <w:szCs w:val="28"/>
        </w:rPr>
        <w:t xml:space="preserve">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gramStart"/>
      <w:r w:rsidRPr="006450C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т. 63 и 65 ТК РФ.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b/>
          <w:sz w:val="28"/>
          <w:szCs w:val="28"/>
          <w:u w:val="single"/>
        </w:rPr>
        <w:t>Запрещаетс</w:t>
      </w:r>
      <w:r w:rsidRPr="006450C7">
        <w:rPr>
          <w:rFonts w:ascii="Times New Roman" w:hAnsi="Times New Roman" w:cs="Times New Roman"/>
          <w:sz w:val="28"/>
          <w:szCs w:val="28"/>
        </w:rPr>
        <w:t xml:space="preserve">я применение труда лиц в возрасте до 18 лет: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- на работах с вредными и (или) опасными условиями труда;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>- на подземных работах;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 xml:space="preserve">-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</w:t>
      </w:r>
      <w:proofErr w:type="gramEnd"/>
    </w:p>
    <w:p w:rsidR="0067729C" w:rsidRPr="006450C7" w:rsidRDefault="006450C7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C59" w:rsidRPr="006450C7">
        <w:rPr>
          <w:rFonts w:ascii="Times New Roman" w:hAnsi="Times New Roman" w:cs="Times New Roman"/>
          <w:sz w:val="28"/>
          <w:szCs w:val="28"/>
        </w:rPr>
        <w:t>перевозка и торговля спиртными напитками, табачными изделиями, наркотическими и иными токсическими препаратами, материалами эротического содержания)</w:t>
      </w:r>
      <w:proofErr w:type="gramStart"/>
      <w:r w:rsidR="00B82C59" w:rsidRPr="00645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C59" w:rsidRPr="006450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82C59" w:rsidRPr="006450C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B82C59"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т. 11 Федерального закона «Об основных гарантиях прав ребенка в Российской Федерации» и ст. 265 ТК РФ.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- направление в служебные командировки;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>- привлечение к сверхурочной работе;</w:t>
      </w: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 - привлечение к работе в ночное время; 5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- привлечение к работе в выходные и нерабочие праздничные дни;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268 ТК РФ;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50C7">
        <w:rPr>
          <w:rFonts w:ascii="Times New Roman" w:hAnsi="Times New Roman" w:cs="Times New Roman"/>
          <w:sz w:val="28"/>
          <w:szCs w:val="28"/>
        </w:rPr>
        <w:t>- заключение письменных договоров о полной индивидуальной или коллективной (бригадной) материальной ответственности, то есть о возмещении ими работодателю причиненного ущерба в полном размере за недостачу вверенного работникам имущества (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однако, подростки могут работать официантами, если их трудовые обязанности не предусматривают получение и передачу денежных средств</w:t>
      </w:r>
      <w:r w:rsidRPr="006450C7">
        <w:rPr>
          <w:rFonts w:ascii="Times New Roman" w:hAnsi="Times New Roman" w:cs="Times New Roman"/>
          <w:sz w:val="28"/>
          <w:szCs w:val="28"/>
        </w:rPr>
        <w:t xml:space="preserve">);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244 ТК РФ. 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- работа по совместительству, на работах с вредными и (или) опасными условиями труда, если основная работа связана с такими же условиями;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282 ТК РФ;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50C7">
        <w:rPr>
          <w:rFonts w:ascii="Times New Roman" w:hAnsi="Times New Roman" w:cs="Times New Roman"/>
          <w:sz w:val="28"/>
          <w:szCs w:val="28"/>
        </w:rPr>
        <w:t xml:space="preserve">- привлечение к работам, выполняемым вахтовым методом;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298 ТК РФ;</w:t>
      </w:r>
    </w:p>
    <w:p w:rsidR="0067729C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50C7">
        <w:rPr>
          <w:rFonts w:ascii="Times New Roman" w:hAnsi="Times New Roman" w:cs="Times New Roman"/>
          <w:sz w:val="28"/>
          <w:szCs w:val="28"/>
        </w:rPr>
        <w:t xml:space="preserve">- заключение трудовых договоров с религиозной организацией;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342 ТК РФ</w:t>
      </w:r>
      <w:r w:rsidRPr="00645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0C7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Лица, не достигшие 18 лет, не могут быть приняты на государственную и муниципальную службу, на работу в ведомственную охрану, где требуется готовность к действиям, связанным с применением физической силы, специальных средств и огнестрельного оружия.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br/>
        <w:t>Также запрещено устанавливать какой бы то ни было испытательный срок для таких работников.</w:t>
      </w:r>
    </w:p>
    <w:p w:rsidR="006450C7" w:rsidRPr="006450C7" w:rsidRDefault="006450C7" w:rsidP="00645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2C59" w:rsidRPr="006450C7" w:rsidRDefault="00B82C59" w:rsidP="006450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времени: Для несовершеннолетних работников устанавливается сокращенная продолжительность рабочего времени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92, 94 ТК РФ.</w:t>
      </w:r>
    </w:p>
    <w:p w:rsidR="0067729C" w:rsidRPr="006450C7" w:rsidRDefault="0067729C" w:rsidP="006450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t>Если несовершеннолетний работник учится, то рабочее время распределяется следующим образом:</w:t>
      </w:r>
      <w:r w:rsidRPr="006450C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992"/>
        <w:gridCol w:w="142"/>
        <w:gridCol w:w="994"/>
        <w:gridCol w:w="1275"/>
        <w:gridCol w:w="1418"/>
        <w:gridCol w:w="1133"/>
      </w:tblGrid>
      <w:tr w:rsidR="001A75F0" w:rsidTr="00A94EAE">
        <w:trPr>
          <w:trHeight w:val="597"/>
        </w:trPr>
        <w:tc>
          <w:tcPr>
            <w:tcW w:w="3512" w:type="dxa"/>
          </w:tcPr>
          <w:p w:rsidR="001A75F0" w:rsidRPr="001A75F0" w:rsidRDefault="001A75F0" w:rsidP="00A94EA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403" w:type="dxa"/>
            <w:gridSpan w:val="4"/>
          </w:tcPr>
          <w:p w:rsidR="001A75F0" w:rsidRDefault="001A75F0" w:rsidP="00A94EAE">
            <w:pPr>
              <w:pStyle w:val="TableParagraph"/>
              <w:spacing w:line="291" w:lineRule="exact"/>
              <w:ind w:left="352" w:right="352"/>
              <w:jc w:val="center"/>
              <w:rPr>
                <w:sz w:val="26"/>
              </w:rPr>
            </w:pPr>
            <w:r>
              <w:rPr>
                <w:smallCaps/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каникулярный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</w:p>
          <w:p w:rsidR="001A75F0" w:rsidRDefault="001A75F0" w:rsidP="00A94EAE">
            <w:pPr>
              <w:pStyle w:val="TableParagraph"/>
              <w:spacing w:line="287" w:lineRule="exact"/>
              <w:ind w:left="352" w:right="34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часов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551" w:type="dxa"/>
            <w:gridSpan w:val="2"/>
          </w:tcPr>
          <w:p w:rsidR="001A75F0" w:rsidRPr="001A75F0" w:rsidRDefault="001A75F0" w:rsidP="00A94EAE">
            <w:pPr>
              <w:pStyle w:val="TableParagraph"/>
              <w:spacing w:line="291" w:lineRule="exact"/>
              <w:ind w:left="228" w:right="225"/>
              <w:jc w:val="center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5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 xml:space="preserve">период </w:t>
            </w:r>
            <w:proofErr w:type="gramStart"/>
            <w:r w:rsidRPr="001A75F0">
              <w:rPr>
                <w:sz w:val="26"/>
                <w:lang w:val="ru-RU"/>
              </w:rPr>
              <w:t>учебного</w:t>
            </w:r>
            <w:proofErr w:type="gramEnd"/>
          </w:p>
          <w:p w:rsidR="001A75F0" w:rsidRPr="001A75F0" w:rsidRDefault="001A75F0" w:rsidP="00A94EAE">
            <w:pPr>
              <w:pStyle w:val="TableParagraph"/>
              <w:spacing w:line="287" w:lineRule="exact"/>
              <w:ind w:left="228" w:right="225"/>
              <w:jc w:val="center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года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(часов)</w:t>
            </w:r>
          </w:p>
        </w:tc>
      </w:tr>
      <w:tr w:rsidR="001A75F0" w:rsidTr="00A94EAE">
        <w:trPr>
          <w:trHeight w:val="525"/>
        </w:trPr>
        <w:tc>
          <w:tcPr>
            <w:tcW w:w="3512" w:type="dxa"/>
          </w:tcPr>
          <w:p w:rsidR="001A75F0" w:rsidRDefault="001A75F0" w:rsidP="00A94EAE">
            <w:pPr>
              <w:pStyle w:val="TableParagraph"/>
              <w:spacing w:before="105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возрастная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</w:tc>
        <w:tc>
          <w:tcPr>
            <w:tcW w:w="992" w:type="dxa"/>
          </w:tcPr>
          <w:p w:rsidR="001A75F0" w:rsidRDefault="001A75F0" w:rsidP="00A94EAE">
            <w:pPr>
              <w:pStyle w:val="TableParagraph"/>
              <w:spacing w:before="105"/>
              <w:ind w:left="150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1136" w:type="dxa"/>
            <w:gridSpan w:val="2"/>
          </w:tcPr>
          <w:p w:rsidR="001A75F0" w:rsidRDefault="001A75F0" w:rsidP="00A94EAE">
            <w:pPr>
              <w:pStyle w:val="TableParagraph"/>
              <w:spacing w:before="105"/>
              <w:ind w:left="222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1275" w:type="dxa"/>
          </w:tcPr>
          <w:p w:rsidR="001A75F0" w:rsidRDefault="001A75F0" w:rsidP="00A94EAE">
            <w:pPr>
              <w:pStyle w:val="TableParagraph"/>
              <w:spacing w:before="105"/>
              <w:ind w:left="77" w:right="78"/>
              <w:jc w:val="center"/>
              <w:rPr>
                <w:sz w:val="26"/>
              </w:rPr>
            </w:pPr>
            <w:r>
              <w:rPr>
                <w:sz w:val="26"/>
              </w:rPr>
              <w:t>16,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1418" w:type="dxa"/>
          </w:tcPr>
          <w:p w:rsidR="001A75F0" w:rsidRDefault="001A75F0" w:rsidP="00A94EAE">
            <w:pPr>
              <w:pStyle w:val="TableParagraph"/>
              <w:spacing w:before="105"/>
              <w:ind w:left="151" w:right="147"/>
              <w:jc w:val="center"/>
              <w:rPr>
                <w:sz w:val="26"/>
              </w:rPr>
            </w:pPr>
            <w:r>
              <w:rPr>
                <w:sz w:val="26"/>
              </w:rPr>
              <w:t>14,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1133" w:type="dxa"/>
          </w:tcPr>
          <w:p w:rsidR="001A75F0" w:rsidRDefault="001A75F0" w:rsidP="00A94EAE">
            <w:pPr>
              <w:pStyle w:val="TableParagraph"/>
              <w:spacing w:before="105"/>
              <w:ind w:left="8" w:right="6"/>
              <w:jc w:val="center"/>
              <w:rPr>
                <w:sz w:val="26"/>
              </w:rPr>
            </w:pPr>
            <w:r>
              <w:rPr>
                <w:sz w:val="26"/>
              </w:rPr>
              <w:t>16,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</w:tr>
      <w:tr w:rsidR="001A75F0" w:rsidTr="00A94EAE">
        <w:trPr>
          <w:trHeight w:val="897"/>
        </w:trPr>
        <w:tc>
          <w:tcPr>
            <w:tcW w:w="3512" w:type="dxa"/>
          </w:tcPr>
          <w:p w:rsidR="001A75F0" w:rsidRP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1A75F0">
              <w:rPr>
                <w:sz w:val="26"/>
                <w:u w:val="single"/>
                <w:lang w:val="ru-RU"/>
              </w:rPr>
              <w:t>Максимально</w:t>
            </w:r>
            <w:r w:rsidRPr="001A75F0">
              <w:rPr>
                <w:spacing w:val="-13"/>
                <w:sz w:val="26"/>
                <w:u w:val="single"/>
                <w:lang w:val="ru-RU"/>
              </w:rPr>
              <w:t xml:space="preserve"> </w:t>
            </w:r>
            <w:r w:rsidRPr="001A75F0">
              <w:rPr>
                <w:sz w:val="26"/>
                <w:u w:val="single"/>
                <w:lang w:val="ru-RU"/>
              </w:rPr>
              <w:t>допустимая</w:t>
            </w:r>
          </w:p>
          <w:p w:rsidR="001A75F0" w:rsidRPr="001A75F0" w:rsidRDefault="001A75F0" w:rsidP="00A94EAE">
            <w:pPr>
              <w:pStyle w:val="TableParagraph"/>
              <w:spacing w:line="298" w:lineRule="exact"/>
              <w:ind w:left="107" w:right="127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продолжительность</w:t>
            </w:r>
            <w:r w:rsidRPr="001A75F0">
              <w:rPr>
                <w:spacing w:val="-1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рабочего</w:t>
            </w:r>
            <w:r w:rsidRPr="001A75F0">
              <w:rPr>
                <w:spacing w:val="-6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времени</w:t>
            </w:r>
            <w:r w:rsidRPr="001A75F0">
              <w:rPr>
                <w:spacing w:val="-3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течение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недели</w:t>
            </w:r>
          </w:p>
        </w:tc>
        <w:tc>
          <w:tcPr>
            <w:tcW w:w="2128" w:type="dxa"/>
            <w:gridSpan w:val="3"/>
          </w:tcPr>
          <w:p w:rsidR="001A75F0" w:rsidRPr="001A75F0" w:rsidRDefault="001A75F0" w:rsidP="00A94EAE">
            <w:pPr>
              <w:pStyle w:val="TableParagraph"/>
              <w:spacing w:before="4"/>
              <w:rPr>
                <w:i/>
                <w:sz w:val="25"/>
                <w:lang w:val="ru-RU"/>
              </w:rPr>
            </w:pPr>
          </w:p>
          <w:p w:rsidR="001A75F0" w:rsidRDefault="001A75F0" w:rsidP="00A94EAE">
            <w:pPr>
              <w:pStyle w:val="TableParagraph"/>
              <w:ind w:left="910" w:right="90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75" w:type="dxa"/>
          </w:tcPr>
          <w:p w:rsidR="001A75F0" w:rsidRDefault="001A75F0" w:rsidP="00A94EAE">
            <w:pPr>
              <w:pStyle w:val="TableParagraph"/>
              <w:spacing w:before="4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77" w:right="78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418" w:type="dxa"/>
          </w:tcPr>
          <w:p w:rsidR="001A75F0" w:rsidRDefault="001A75F0" w:rsidP="00A94EAE">
            <w:pPr>
              <w:pStyle w:val="TableParagraph"/>
              <w:spacing w:before="4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151" w:right="14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3" w:type="dxa"/>
          </w:tcPr>
          <w:p w:rsidR="001A75F0" w:rsidRDefault="001A75F0" w:rsidP="00A94EAE">
            <w:pPr>
              <w:pStyle w:val="TableParagraph"/>
              <w:spacing w:before="4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8" w:right="4"/>
              <w:jc w:val="center"/>
              <w:rPr>
                <w:sz w:val="26"/>
              </w:rPr>
            </w:pPr>
            <w:r>
              <w:rPr>
                <w:sz w:val="26"/>
              </w:rPr>
              <w:t>17,5</w:t>
            </w:r>
          </w:p>
        </w:tc>
      </w:tr>
      <w:tr w:rsidR="001A75F0" w:rsidTr="00A94EAE">
        <w:trPr>
          <w:trHeight w:val="897"/>
        </w:trPr>
        <w:tc>
          <w:tcPr>
            <w:tcW w:w="3512" w:type="dxa"/>
          </w:tcPr>
          <w:p w:rsidR="001A75F0" w:rsidRPr="001A75F0" w:rsidRDefault="001A75F0" w:rsidP="00A94EAE">
            <w:pPr>
              <w:pStyle w:val="TableParagraph"/>
              <w:ind w:left="107" w:right="127"/>
              <w:rPr>
                <w:sz w:val="26"/>
                <w:lang w:val="ru-RU"/>
              </w:rPr>
            </w:pPr>
            <w:r w:rsidRPr="001A75F0">
              <w:rPr>
                <w:sz w:val="26"/>
                <w:u w:val="single"/>
                <w:lang w:val="ru-RU"/>
              </w:rPr>
              <w:t>Максимально допустимая</w:t>
            </w:r>
            <w:r w:rsidRPr="001A75F0">
              <w:rPr>
                <w:spacing w:val="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продолжительность</w:t>
            </w:r>
            <w:r w:rsidRPr="001A75F0">
              <w:rPr>
                <w:spacing w:val="-1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рабочего</w:t>
            </w:r>
          </w:p>
          <w:p w:rsidR="001A75F0" w:rsidRPr="001A75F0" w:rsidRDefault="001A75F0" w:rsidP="00A94EA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времени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течение</w:t>
            </w:r>
            <w:r w:rsidRPr="001A75F0">
              <w:rPr>
                <w:spacing w:val="-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дня</w:t>
            </w:r>
          </w:p>
        </w:tc>
        <w:tc>
          <w:tcPr>
            <w:tcW w:w="1134" w:type="dxa"/>
            <w:gridSpan w:val="2"/>
          </w:tcPr>
          <w:p w:rsidR="001A75F0" w:rsidRPr="001A75F0" w:rsidRDefault="001A75F0" w:rsidP="00A94EAE">
            <w:pPr>
              <w:pStyle w:val="TableParagraph"/>
              <w:spacing w:before="2"/>
              <w:rPr>
                <w:i/>
                <w:sz w:val="25"/>
                <w:lang w:val="ru-RU"/>
              </w:rPr>
            </w:pPr>
          </w:p>
          <w:p w:rsidR="001A75F0" w:rsidRDefault="001A75F0" w:rsidP="00A94EAE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4" w:type="dxa"/>
          </w:tcPr>
          <w:p w:rsidR="001A75F0" w:rsidRDefault="001A75F0" w:rsidP="00A94EA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5" w:type="dxa"/>
          </w:tcPr>
          <w:p w:rsidR="001A75F0" w:rsidRDefault="001A75F0" w:rsidP="00A94EA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18" w:type="dxa"/>
          </w:tcPr>
          <w:p w:rsidR="001A75F0" w:rsidRDefault="001A75F0" w:rsidP="00A94EA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151" w:right="144"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1133" w:type="dxa"/>
          </w:tcPr>
          <w:p w:rsidR="001A75F0" w:rsidRDefault="001A75F0" w:rsidP="00A94EA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A75F0" w:rsidRDefault="001A75F0" w:rsidP="00A94EAE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 w:rsidR="006450C7" w:rsidRPr="006450C7" w:rsidRDefault="006450C7" w:rsidP="006450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50C7">
        <w:rPr>
          <w:rFonts w:ascii="Times New Roman" w:hAnsi="Times New Roman" w:cs="Times New Roman"/>
          <w:sz w:val="28"/>
          <w:szCs w:val="28"/>
          <w:lang w:eastAsia="ru-RU"/>
        </w:rPr>
        <w:t>При поступлении несовершеннолетнего  на работу, связанную с деятельностью учреждений по работе с детьми, санаторно-курортной сферы, к осуществлению которой в соответствии с законом  не допускаются лица, имеющие или имевшие судимость  он обязан предъявить справку о наличии (отсутствии) судимости и (или) факта уголовного преследования выданную в порядке и по форме, которые устанавливаются федеральным органом исполнительной власти, осуществляющим функции по выработке и реализации</w:t>
      </w:r>
      <w:proofErr w:type="gramEnd"/>
      <w:r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политики и нормативно-правовому регулированию в сфере внутренних дел.</w:t>
      </w:r>
    </w:p>
    <w:p w:rsidR="0067729C" w:rsidRPr="006450C7" w:rsidRDefault="0067729C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>Предельные нормы переноски и перемещения тяжестей установлены постановлением министерства труда и социального развития Российской Федерации от 07.04.1999 № 7 «Об утверждении норм предельно допустимых нагрузок для лиц моложе восемнадцати лет при подъеме или перемещении тяжестей вручную».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95"/>
        <w:gridCol w:w="708"/>
        <w:gridCol w:w="708"/>
        <w:gridCol w:w="710"/>
        <w:gridCol w:w="708"/>
        <w:gridCol w:w="711"/>
        <w:gridCol w:w="708"/>
        <w:gridCol w:w="708"/>
        <w:gridCol w:w="708"/>
      </w:tblGrid>
      <w:tr w:rsidR="001A75F0" w:rsidTr="00A94EAE">
        <w:trPr>
          <w:trHeight w:val="315"/>
        </w:trPr>
        <w:tc>
          <w:tcPr>
            <w:tcW w:w="3795" w:type="dxa"/>
            <w:vMerge w:val="restart"/>
          </w:tcPr>
          <w:p w:rsidR="001A75F0" w:rsidRPr="00E96FBF" w:rsidRDefault="001A75F0" w:rsidP="00A94EAE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1A75F0" w:rsidRPr="001A75F0" w:rsidRDefault="001A75F0" w:rsidP="00A94EAE">
            <w:pPr>
              <w:pStyle w:val="TableParagraph"/>
              <w:ind w:left="457" w:right="426" w:firstLine="458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Характер работы,</w:t>
            </w:r>
            <w:r w:rsidRPr="001A75F0">
              <w:rPr>
                <w:spacing w:val="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показатели</w:t>
            </w:r>
            <w:r w:rsidRPr="001A75F0">
              <w:rPr>
                <w:spacing w:val="-6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тяжести</w:t>
            </w:r>
            <w:r w:rsidRPr="001A75F0">
              <w:rPr>
                <w:spacing w:val="-7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труда</w:t>
            </w:r>
          </w:p>
        </w:tc>
        <w:tc>
          <w:tcPr>
            <w:tcW w:w="5669" w:type="dxa"/>
            <w:gridSpan w:val="8"/>
          </w:tcPr>
          <w:p w:rsidR="001A75F0" w:rsidRPr="001A75F0" w:rsidRDefault="001A75F0" w:rsidP="00A94EAE">
            <w:pPr>
              <w:pStyle w:val="TableParagraph"/>
              <w:spacing w:line="291" w:lineRule="exact"/>
              <w:ind w:left="637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Предельно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допустимая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масса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груза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1A75F0">
              <w:rPr>
                <w:sz w:val="26"/>
                <w:lang w:val="ru-RU"/>
              </w:rPr>
              <w:t>кг</w:t>
            </w:r>
            <w:proofErr w:type="gramEnd"/>
          </w:p>
        </w:tc>
      </w:tr>
      <w:tr w:rsidR="001A75F0" w:rsidTr="00A94EAE">
        <w:trPr>
          <w:trHeight w:val="298"/>
        </w:trPr>
        <w:tc>
          <w:tcPr>
            <w:tcW w:w="3795" w:type="dxa"/>
            <w:vMerge/>
            <w:tcBorders>
              <w:top w:val="nil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gridSpan w:val="4"/>
          </w:tcPr>
          <w:p w:rsidR="001A75F0" w:rsidRDefault="001A75F0" w:rsidP="00A94EAE">
            <w:pPr>
              <w:pStyle w:val="TableParagraph"/>
              <w:spacing w:line="279" w:lineRule="exact"/>
              <w:ind w:left="957" w:right="9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Юноши</w:t>
            </w:r>
            <w:proofErr w:type="spellEnd"/>
          </w:p>
        </w:tc>
        <w:tc>
          <w:tcPr>
            <w:tcW w:w="2835" w:type="dxa"/>
            <w:gridSpan w:val="4"/>
          </w:tcPr>
          <w:p w:rsidR="001A75F0" w:rsidRDefault="001A75F0" w:rsidP="00A94EAE">
            <w:pPr>
              <w:pStyle w:val="TableParagraph"/>
              <w:spacing w:line="279" w:lineRule="exact"/>
              <w:ind w:left="912"/>
              <w:rPr>
                <w:sz w:val="26"/>
              </w:rPr>
            </w:pPr>
            <w:proofErr w:type="spellStart"/>
            <w:r>
              <w:rPr>
                <w:sz w:val="26"/>
              </w:rPr>
              <w:t>Девушки</w:t>
            </w:r>
            <w:proofErr w:type="spellEnd"/>
          </w:p>
        </w:tc>
      </w:tr>
      <w:tr w:rsidR="001A75F0" w:rsidTr="00A94EAE">
        <w:trPr>
          <w:trHeight w:val="599"/>
        </w:trPr>
        <w:tc>
          <w:tcPr>
            <w:tcW w:w="3795" w:type="dxa"/>
            <w:vMerge/>
            <w:tcBorders>
              <w:top w:val="nil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10" w:type="dxa"/>
          </w:tcPr>
          <w:p w:rsid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17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11" w:type="dxa"/>
          </w:tcPr>
          <w:p w:rsidR="001A75F0" w:rsidRDefault="001A75F0" w:rsidP="00A94EA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16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708" w:type="dxa"/>
          </w:tcPr>
          <w:p w:rsidR="001A75F0" w:rsidRDefault="001A75F0" w:rsidP="00A94EA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17</w:t>
            </w:r>
          </w:p>
          <w:p w:rsidR="001A75F0" w:rsidRDefault="001A75F0" w:rsidP="00A94EAE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</w:tr>
    </w:tbl>
    <w:p w:rsidR="006450C7" w:rsidRDefault="006450C7" w:rsidP="006450C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02"/>
        <w:gridCol w:w="701"/>
        <w:gridCol w:w="708"/>
        <w:gridCol w:w="710"/>
        <w:gridCol w:w="708"/>
        <w:gridCol w:w="711"/>
        <w:gridCol w:w="708"/>
        <w:gridCol w:w="708"/>
        <w:gridCol w:w="708"/>
      </w:tblGrid>
      <w:tr w:rsidR="001A75F0" w:rsidTr="00A94EAE">
        <w:trPr>
          <w:trHeight w:val="961"/>
        </w:trPr>
        <w:tc>
          <w:tcPr>
            <w:tcW w:w="3802" w:type="dxa"/>
          </w:tcPr>
          <w:p w:rsidR="001A75F0" w:rsidRPr="001A75F0" w:rsidRDefault="001A75F0" w:rsidP="00A94EAE">
            <w:pPr>
              <w:pStyle w:val="TableParagraph"/>
              <w:ind w:left="107" w:right="624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Подъем и перемещение</w:t>
            </w:r>
            <w:r w:rsidRPr="001A75F0">
              <w:rPr>
                <w:spacing w:val="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вручную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груза</w:t>
            </w:r>
            <w:r w:rsidRPr="001A75F0">
              <w:rPr>
                <w:spacing w:val="-5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постоянно</w:t>
            </w:r>
            <w:r w:rsidRPr="001A75F0">
              <w:rPr>
                <w:spacing w:val="-6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6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течение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рабочей</w:t>
            </w:r>
            <w:r w:rsidRPr="001A75F0">
              <w:rPr>
                <w:spacing w:val="-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смены</w:t>
            </w:r>
          </w:p>
        </w:tc>
        <w:tc>
          <w:tcPr>
            <w:tcW w:w="701" w:type="dxa"/>
            <w:tcBorders>
              <w:right w:val="single" w:sz="4" w:space="0" w:color="000000"/>
            </w:tcBorders>
          </w:tcPr>
          <w:p w:rsidR="001A75F0" w:rsidRPr="001A75F0" w:rsidRDefault="001A75F0" w:rsidP="00A94EAE">
            <w:pPr>
              <w:pStyle w:val="TableParagraph"/>
              <w:rPr>
                <w:sz w:val="28"/>
                <w:lang w:val="ru-RU"/>
              </w:rPr>
            </w:pPr>
          </w:p>
          <w:p w:rsidR="001A75F0" w:rsidRPr="001A75F0" w:rsidRDefault="001A75F0" w:rsidP="00A94EAE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2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30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10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A75F0" w:rsidTr="00A94EAE">
        <w:trPr>
          <w:trHeight w:val="922"/>
        </w:trPr>
        <w:tc>
          <w:tcPr>
            <w:tcW w:w="3802" w:type="dxa"/>
            <w:tcBorders>
              <w:bottom w:val="nil"/>
            </w:tcBorders>
          </w:tcPr>
          <w:p w:rsidR="001A75F0" w:rsidRPr="001A75F0" w:rsidRDefault="001A75F0" w:rsidP="00A94EAE">
            <w:pPr>
              <w:pStyle w:val="TableParagraph"/>
              <w:ind w:left="107" w:right="348"/>
              <w:jc w:val="both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Подъем и перемещение груза</w:t>
            </w:r>
            <w:r w:rsidRPr="001A75F0">
              <w:rPr>
                <w:spacing w:val="-6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вручную</w:t>
            </w:r>
            <w:r w:rsidRPr="001A75F0">
              <w:rPr>
                <w:spacing w:val="-5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постоянно</w:t>
            </w:r>
            <w:r w:rsidRPr="001A75F0">
              <w:rPr>
                <w:spacing w:val="-6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течение</w:t>
            </w:r>
            <w:r w:rsidRPr="001A75F0">
              <w:rPr>
                <w:spacing w:val="-63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не</w:t>
            </w:r>
            <w:r w:rsidRPr="001A75F0">
              <w:rPr>
                <w:spacing w:val="-3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более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1/3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рабочей смены:</w:t>
            </w:r>
          </w:p>
        </w:tc>
        <w:tc>
          <w:tcPr>
            <w:tcW w:w="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pStyle w:val="TableParagraph"/>
              <w:rPr>
                <w:sz w:val="28"/>
                <w:lang w:val="ru-RU"/>
              </w:rPr>
            </w:pPr>
          </w:p>
          <w:p w:rsidR="001A75F0" w:rsidRPr="001A75F0" w:rsidRDefault="001A75F0" w:rsidP="00A94EAE">
            <w:pPr>
              <w:pStyle w:val="TableParagraph"/>
              <w:rPr>
                <w:sz w:val="28"/>
                <w:lang w:val="ru-RU"/>
              </w:rPr>
            </w:pPr>
          </w:p>
          <w:p w:rsidR="001A75F0" w:rsidRPr="001A75F0" w:rsidRDefault="001A75F0" w:rsidP="00A94EAE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3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3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8"/>
              <w:rPr>
                <w:sz w:val="26"/>
              </w:rPr>
            </w:pPr>
          </w:p>
          <w:p w:rsidR="001A75F0" w:rsidRDefault="001A75F0" w:rsidP="00A94EAE">
            <w:pPr>
              <w:pStyle w:val="TableParagraph"/>
              <w:spacing w:before="1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A75F0" w:rsidTr="00A94EAE">
        <w:trPr>
          <w:trHeight w:val="399"/>
        </w:trPr>
        <w:tc>
          <w:tcPr>
            <w:tcW w:w="3802" w:type="dxa"/>
            <w:tcBorders>
              <w:top w:val="nil"/>
              <w:bottom w:val="nil"/>
            </w:tcBorders>
          </w:tcPr>
          <w:p w:rsidR="001A75F0" w:rsidRPr="001A75F0" w:rsidRDefault="001A75F0" w:rsidP="00A94EAE">
            <w:pPr>
              <w:pStyle w:val="TableParagraph"/>
              <w:spacing w:before="19"/>
              <w:ind w:left="107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-постоянно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(более 2-х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раз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3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час)</w:t>
            </w:r>
          </w:p>
        </w:tc>
        <w:tc>
          <w:tcPr>
            <w:tcW w:w="7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75F0" w:rsidRPr="001A75F0" w:rsidRDefault="001A75F0" w:rsidP="00A94EAE">
            <w:pPr>
              <w:rPr>
                <w:sz w:val="2"/>
                <w:szCs w:val="2"/>
                <w:lang w:val="ru-RU"/>
              </w:rPr>
            </w:pPr>
          </w:p>
        </w:tc>
      </w:tr>
      <w:tr w:rsidR="001A75F0" w:rsidTr="00A94EAE">
        <w:trPr>
          <w:trHeight w:val="644"/>
        </w:trPr>
        <w:tc>
          <w:tcPr>
            <w:tcW w:w="3802" w:type="dxa"/>
            <w:tcBorders>
              <w:top w:val="nil"/>
            </w:tcBorders>
          </w:tcPr>
          <w:p w:rsidR="001A75F0" w:rsidRPr="001A75F0" w:rsidRDefault="001A75F0" w:rsidP="00A94EAE">
            <w:pPr>
              <w:pStyle w:val="TableParagraph"/>
              <w:ind w:left="107" w:right="675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-при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чередовании</w:t>
            </w:r>
            <w:r w:rsidRPr="001A75F0">
              <w:rPr>
                <w:spacing w:val="-5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с</w:t>
            </w:r>
            <w:r w:rsidRPr="001A75F0">
              <w:rPr>
                <w:spacing w:val="-4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другой</w:t>
            </w:r>
            <w:r w:rsidRPr="001A75F0">
              <w:rPr>
                <w:spacing w:val="-6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работой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(до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2-х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раз</w:t>
            </w:r>
            <w:r w:rsidRPr="001A75F0">
              <w:rPr>
                <w:spacing w:val="-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 час)</w:t>
            </w:r>
          </w:p>
        </w:tc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130" w:right="121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145" w:right="11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147" w:right="122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143" w:right="120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9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before="4"/>
              <w:rPr>
                <w:sz w:val="29"/>
              </w:rPr>
            </w:pPr>
          </w:p>
          <w:p w:rsidR="001A75F0" w:rsidRDefault="001A75F0" w:rsidP="00A94EAE">
            <w:pPr>
              <w:pStyle w:val="TableParagraph"/>
              <w:spacing w:line="287" w:lineRule="exact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A75F0" w:rsidTr="00A94EAE">
        <w:trPr>
          <w:trHeight w:val="890"/>
        </w:trPr>
        <w:tc>
          <w:tcPr>
            <w:tcW w:w="3802" w:type="dxa"/>
            <w:tcBorders>
              <w:bottom w:val="nil"/>
            </w:tcBorders>
          </w:tcPr>
          <w:p w:rsidR="001A75F0" w:rsidRP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1A75F0">
              <w:rPr>
                <w:sz w:val="26"/>
                <w:lang w:val="ru-RU"/>
              </w:rPr>
              <w:t>Суммарная</w:t>
            </w:r>
            <w:r w:rsidRPr="001A75F0">
              <w:rPr>
                <w:spacing w:val="-1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масса</w:t>
            </w:r>
            <w:r w:rsidRPr="001A75F0">
              <w:rPr>
                <w:spacing w:val="-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груза,</w:t>
            </w:r>
          </w:p>
          <w:p w:rsidR="001A75F0" w:rsidRPr="001A75F0" w:rsidRDefault="001A75F0" w:rsidP="00A94EAE">
            <w:pPr>
              <w:pStyle w:val="TableParagraph"/>
              <w:spacing w:line="298" w:lineRule="exact"/>
              <w:ind w:left="107" w:right="925"/>
              <w:rPr>
                <w:sz w:val="26"/>
                <w:lang w:val="ru-RU"/>
              </w:rPr>
            </w:pPr>
            <w:proofErr w:type="gramStart"/>
            <w:r w:rsidRPr="001A75F0">
              <w:rPr>
                <w:sz w:val="26"/>
                <w:lang w:val="ru-RU"/>
              </w:rPr>
              <w:t>перемещаемая</w:t>
            </w:r>
            <w:proofErr w:type="gramEnd"/>
            <w:r w:rsidRPr="001A75F0">
              <w:rPr>
                <w:spacing w:val="-8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в</w:t>
            </w:r>
            <w:r w:rsidRPr="001A75F0">
              <w:rPr>
                <w:spacing w:val="-5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течение</w:t>
            </w:r>
            <w:r w:rsidRPr="001A75F0">
              <w:rPr>
                <w:spacing w:val="-62"/>
                <w:sz w:val="26"/>
                <w:lang w:val="ru-RU"/>
              </w:rPr>
              <w:t xml:space="preserve"> </w:t>
            </w:r>
            <w:r w:rsidRPr="001A75F0">
              <w:rPr>
                <w:sz w:val="26"/>
                <w:lang w:val="ru-RU"/>
              </w:rPr>
              <w:t>смены:</w:t>
            </w:r>
          </w:p>
        </w:tc>
        <w:tc>
          <w:tcPr>
            <w:tcW w:w="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A75F0" w:rsidRPr="001A75F0" w:rsidRDefault="001A75F0" w:rsidP="00A94EAE">
            <w:pPr>
              <w:pStyle w:val="TableParagraph"/>
              <w:rPr>
                <w:sz w:val="28"/>
                <w:lang w:val="ru-RU"/>
              </w:rPr>
            </w:pPr>
          </w:p>
          <w:p w:rsidR="001A75F0" w:rsidRPr="001A75F0" w:rsidRDefault="001A75F0" w:rsidP="00A94EAE">
            <w:pPr>
              <w:pStyle w:val="TableParagraph"/>
              <w:rPr>
                <w:sz w:val="28"/>
                <w:lang w:val="ru-RU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50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68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81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44"/>
              <w:rPr>
                <w:sz w:val="26"/>
              </w:rPr>
            </w:pPr>
            <w:r>
              <w:rPr>
                <w:sz w:val="26"/>
              </w:rPr>
              <w:t>1500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68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66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66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rPr>
                <w:sz w:val="28"/>
              </w:rPr>
            </w:pPr>
          </w:p>
          <w:p w:rsidR="001A75F0" w:rsidRDefault="001A75F0" w:rsidP="00A94EAE">
            <w:pPr>
              <w:pStyle w:val="TableParagraph"/>
              <w:spacing w:before="246"/>
              <w:ind w:left="168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</w:tr>
      <w:tr w:rsidR="001A75F0" w:rsidTr="00A94EAE">
        <w:trPr>
          <w:trHeight w:val="311"/>
        </w:trPr>
        <w:tc>
          <w:tcPr>
            <w:tcW w:w="3802" w:type="dxa"/>
            <w:tcBorders>
              <w:top w:val="nil"/>
              <w:bottom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подъем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рабочей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поверхности</w:t>
            </w:r>
            <w:proofErr w:type="spellEnd"/>
          </w:p>
        </w:tc>
        <w:tc>
          <w:tcPr>
            <w:tcW w:w="7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75F0" w:rsidRDefault="001A75F0" w:rsidP="00A94EAE">
            <w:pPr>
              <w:rPr>
                <w:sz w:val="2"/>
                <w:szCs w:val="2"/>
              </w:rPr>
            </w:pPr>
          </w:p>
        </w:tc>
      </w:tr>
      <w:tr w:rsidR="001A75F0" w:rsidTr="00A94EAE">
        <w:trPr>
          <w:trHeight w:val="378"/>
        </w:trPr>
        <w:tc>
          <w:tcPr>
            <w:tcW w:w="3802" w:type="dxa"/>
            <w:tcBorders>
              <w:top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подъем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30" w:right="121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5" w:right="118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7" w:right="122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3" w:right="120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233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3" w:right="12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3" w:right="12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1A75F0" w:rsidRDefault="001A75F0" w:rsidP="00A94EAE">
            <w:pPr>
              <w:pStyle w:val="TableParagraph"/>
              <w:spacing w:line="291" w:lineRule="exact"/>
              <w:ind w:left="147" w:right="110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</w:tr>
    </w:tbl>
    <w:p w:rsidR="0067729C" w:rsidRPr="006450C7" w:rsidRDefault="0067729C" w:rsidP="006450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729C" w:rsidRPr="006450C7" w:rsidRDefault="0067729C" w:rsidP="006450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подъем и перемещение тяжестей в пределах указанных норм допускаются, если: это непосредственно связано с выполняемой постоянной профессиональной работой; в массу поднимаемого и перемещаемого груза включается масса тары и упаковки; </w:t>
      </w:r>
      <w:proofErr w:type="gramStart"/>
      <w:r w:rsidRPr="006450C7">
        <w:rPr>
          <w:rFonts w:ascii="Times New Roman" w:hAnsi="Times New Roman" w:cs="Times New Roman"/>
          <w:sz w:val="28"/>
          <w:szCs w:val="28"/>
        </w:rPr>
        <w:t>при перемещении грузов на тележках или в контейнерах прилагаемое усилие не должно превышать: для юношей 14 лет – 12 кг, 15 лет – 15 кг, 16 лет – 20 кг, 17 лет – 24 кг; для девушек 14 лет – 4 кг, 15 лет – 5 кг, 16 лет – 7 кг, 17 лет – 8 кг.</w:t>
      </w:r>
      <w:proofErr w:type="gramEnd"/>
    </w:p>
    <w:p w:rsidR="003151C3" w:rsidRDefault="0067729C" w:rsidP="003151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="003151C3">
          <w:rPr>
            <w:rFonts w:ascii="Times New Roman" w:hAnsi="Times New Roman" w:cs="Times New Roman"/>
            <w:color w:val="4396BB"/>
            <w:sz w:val="28"/>
            <w:szCs w:val="28"/>
            <w:lang w:eastAsia="ru-RU"/>
          </w:rPr>
          <w:t>Вв</w:t>
        </w:r>
        <w:r w:rsidR="006450C7" w:rsidRPr="006450C7">
          <w:rPr>
            <w:rFonts w:ascii="Times New Roman" w:hAnsi="Times New Roman" w:cs="Times New Roman"/>
            <w:color w:val="4396BB"/>
            <w:sz w:val="28"/>
            <w:szCs w:val="28"/>
            <w:lang w:eastAsia="ru-RU"/>
          </w:rPr>
          <w:t>одный инструктаж</w:t>
        </w:r>
      </w:hyperlink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, проводится сразу после трудоустройства.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br/>
        <w:t>На нем несовершеннолетнего работника знакомят с правилами по охране труда, с технологическими процессами, техникой безопасностью, а также применение необходимых средств защиты и умением оказывать первую помощь при нес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частном случае на производстве.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Инструктаж по охране труда проводится с целью ознакомить несовершеннолетнего с основными пра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вилами по технике безопасности.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Все проведенные инструктажи в обязательном порядке фиксируются в журналах вводного инструктажа 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и инструктажа на рабочем месте.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инструкции по технике безопасности включает в себя правила пожарной и </w:t>
      </w:r>
      <w:proofErr w:type="spellStart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br/>
        <w:t>Несовершеннолетнему в обязательном порядке объясняют правила эвакуации и действий при пожаре, ударе током, а также прочих непредвиденных обстоятельствах.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Обучают обращению со средствами 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защиты. </w:t>
      </w:r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вводного</w:t>
      </w:r>
      <w:proofErr w:type="gramEnd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 </w:t>
      </w:r>
      <w:hyperlink r:id="rId5" w:history="1">
        <w:r w:rsidR="006450C7" w:rsidRPr="006450C7">
          <w:rPr>
            <w:rFonts w:ascii="Times New Roman" w:hAnsi="Times New Roman" w:cs="Times New Roman"/>
            <w:color w:val="4396BB"/>
            <w:sz w:val="28"/>
            <w:szCs w:val="28"/>
            <w:lang w:eastAsia="ru-RU"/>
          </w:rPr>
          <w:t>первичный инструктаж</w:t>
        </w:r>
      </w:hyperlink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 на рабочем месте.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При проведении первичного инструктажа на рабочем месте необходимо помнить, что в соответствии с требованиями п. 2.1.3 Постановления Минтруда РФ и 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и п.9.4 ГОСТ 12.0.004-2015 "Система стандартов безопасности труда» что для работников рабочих профессий</w:t>
      </w:r>
      <w:proofErr w:type="gramEnd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младшего обслуживающего персонала, </w:t>
      </w:r>
      <w:proofErr w:type="gramStart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="006450C7" w:rsidRPr="006450C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соответствующую требованиям безопасного выполнения порученной им трудовой функции профессиональную квалификацию назначается стажировка. Сроки стажировки определяются программами стажировки длительностью от трех до 19 рабочих смен. Об этом делается соответствующая отметка в журнале.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1C3" w:rsidRDefault="006450C7" w:rsidP="003151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проводится внеплановый инструктаж несовершеннолетних. Это нужно, если изменились инструкции, условия труда, а такж</w:t>
      </w:r>
      <w:r w:rsidR="003151C3">
        <w:rPr>
          <w:rFonts w:ascii="Times New Roman" w:hAnsi="Times New Roman" w:cs="Times New Roman"/>
          <w:sz w:val="28"/>
          <w:szCs w:val="28"/>
          <w:lang w:eastAsia="ru-RU"/>
        </w:rPr>
        <w:t xml:space="preserve">е оборудование или инструменты. </w:t>
      </w:r>
    </w:p>
    <w:p w:rsidR="006450C7" w:rsidRPr="003151C3" w:rsidRDefault="006450C7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t>Если сотрудник, не достигший 18 лет, привлекается к различным видам деятельности, то ему обязаны перед каждым проводить </w:t>
      </w:r>
      <w:hyperlink r:id="rId6" w:history="1">
        <w:r w:rsidRPr="006450C7">
          <w:rPr>
            <w:rFonts w:ascii="Times New Roman" w:hAnsi="Times New Roman" w:cs="Times New Roman"/>
            <w:color w:val="4396BB"/>
            <w:sz w:val="28"/>
            <w:szCs w:val="28"/>
            <w:lang w:eastAsia="ru-RU"/>
          </w:rPr>
          <w:t>целевой инструктаж</w:t>
        </w:r>
      </w:hyperlink>
      <w:r w:rsidRPr="006450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50C7">
        <w:rPr>
          <w:rFonts w:ascii="Times New Roman" w:hAnsi="Times New Roman" w:cs="Times New Roman"/>
          <w:sz w:val="28"/>
          <w:szCs w:val="28"/>
          <w:lang w:eastAsia="ru-RU"/>
        </w:rPr>
        <w:br/>
        <w:t>Что касается </w:t>
      </w:r>
      <w:hyperlink r:id="rId7" w:history="1">
        <w:r w:rsidRPr="006450C7">
          <w:rPr>
            <w:rFonts w:ascii="Times New Roman" w:hAnsi="Times New Roman" w:cs="Times New Roman"/>
            <w:color w:val="4396BB"/>
            <w:sz w:val="28"/>
            <w:szCs w:val="28"/>
            <w:lang w:eastAsia="ru-RU"/>
          </w:rPr>
          <w:t>повторного инструктажа</w:t>
        </w:r>
      </w:hyperlink>
      <w:r w:rsidRPr="006450C7">
        <w:rPr>
          <w:rFonts w:ascii="Times New Roman" w:hAnsi="Times New Roman" w:cs="Times New Roman"/>
          <w:sz w:val="28"/>
          <w:szCs w:val="28"/>
          <w:lang w:eastAsia="ru-RU"/>
        </w:rPr>
        <w:t>, то он должен проводиться для несовершеннолетних не реже, чем раз в полгода. На нем освежаются и обновляются знания, которые получены во время проведения первичного и вводного обучения.</w:t>
      </w:r>
    </w:p>
    <w:p w:rsidR="0067729C" w:rsidRPr="006450C7" w:rsidRDefault="003151C3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29C" w:rsidRPr="006450C7">
        <w:rPr>
          <w:rFonts w:ascii="Times New Roman" w:hAnsi="Times New Roman" w:cs="Times New Roman"/>
          <w:sz w:val="28"/>
          <w:szCs w:val="28"/>
        </w:rPr>
        <w:t xml:space="preserve">работникам в возрасте до 18 лет выплачивается с учетом сокращенной продолжительности работы. Работодатель может за счет </w:t>
      </w:r>
      <w:r w:rsidR="0067729C" w:rsidRPr="006450C7">
        <w:rPr>
          <w:rFonts w:ascii="Times New Roman" w:hAnsi="Times New Roman" w:cs="Times New Roman"/>
          <w:sz w:val="28"/>
          <w:szCs w:val="28"/>
        </w:rPr>
        <w:lastRenderedPageBreak/>
        <w:t>собственных сре</w:t>
      </w:r>
      <w:proofErr w:type="gramStart"/>
      <w:r w:rsidR="0067729C" w:rsidRPr="006450C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7729C" w:rsidRPr="006450C7">
        <w:rPr>
          <w:rFonts w:ascii="Times New Roman" w:hAnsi="Times New Roman" w:cs="Times New Roman"/>
          <w:sz w:val="28"/>
          <w:szCs w:val="28"/>
        </w:rPr>
        <w:t xml:space="preserve">оизводить им доплаты до уровня оплаты труда работников соответствующих категорий при полной продолжительности ежедневной работы. </w:t>
      </w:r>
    </w:p>
    <w:p w:rsidR="0067729C" w:rsidRPr="006450C7" w:rsidRDefault="0067729C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Труд работников в возрасте до восемнадцати лет, допущенных к сдельным работам, оплачивается по установленным сдельным расценкам. </w:t>
      </w:r>
    </w:p>
    <w:p w:rsidR="003151C3" w:rsidRDefault="0067729C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>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3151C3" w:rsidRDefault="0067729C" w:rsidP="003151C3">
      <w:pPr>
        <w:pStyle w:val="a7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 Оплата труда работников в возрасте до 18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271 ТК РФ. </w:t>
      </w:r>
    </w:p>
    <w:p w:rsidR="003151C3" w:rsidRDefault="0067729C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Заработная плата несовершеннолетнего работника облагается налогами в обычном порядке. С нее удерживается 13% НДФЛ. С выплат перечисляются взносы в Пенсионный фонд, страховые платежи от несчастных случаев на производстве и профзаболеваний. </w:t>
      </w:r>
    </w:p>
    <w:p w:rsidR="003151C3" w:rsidRDefault="0067729C" w:rsidP="003151C3">
      <w:pPr>
        <w:pStyle w:val="a7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работникам в возрасте до 18 лет предоставляется продолжительностью 31 календарный день в удобное для них время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267 ТК РФ. </w:t>
      </w:r>
      <w:r w:rsidRPr="006450C7">
        <w:rPr>
          <w:rFonts w:ascii="Times New Roman" w:hAnsi="Times New Roman" w:cs="Times New Roman"/>
          <w:sz w:val="28"/>
          <w:szCs w:val="28"/>
        </w:rPr>
        <w:t xml:space="preserve">Работникам, заключившим трудовой договор на срок до двух месяцев, предоставляются оплачиваемые отпуска или выплачивается компенсация при увольнении из расчета два рабочих дня за месяц работы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291 ТК РФ. </w:t>
      </w:r>
    </w:p>
    <w:p w:rsidR="003151C3" w:rsidRDefault="0067729C" w:rsidP="003151C3">
      <w:pPr>
        <w:pStyle w:val="a7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6450C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450C7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 w:rsidRPr="006450C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450C7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работникам в возрасте до 18 лет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– ст. 124 ТК РФ; </w:t>
      </w:r>
    </w:p>
    <w:p w:rsidR="0067729C" w:rsidRPr="003151C3" w:rsidRDefault="0067729C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50C7">
        <w:rPr>
          <w:rFonts w:ascii="Times New Roman" w:hAnsi="Times New Roman" w:cs="Times New Roman"/>
          <w:sz w:val="28"/>
          <w:szCs w:val="28"/>
        </w:rPr>
        <w:t xml:space="preserve">Не допускается отзыв из отпуска работников в возрасте до 18 лет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 xml:space="preserve">- ст. 125 ТК РФ; </w:t>
      </w:r>
      <w:r w:rsidRPr="006450C7">
        <w:rPr>
          <w:rFonts w:ascii="Times New Roman" w:hAnsi="Times New Roman" w:cs="Times New Roman"/>
          <w:sz w:val="28"/>
          <w:szCs w:val="28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работникам в возрасте до 18 лет </w:t>
      </w:r>
      <w:r w:rsidRPr="006450C7">
        <w:rPr>
          <w:rFonts w:ascii="Times New Roman" w:hAnsi="Times New Roman" w:cs="Times New Roman"/>
          <w:i/>
          <w:iCs/>
          <w:sz w:val="28"/>
          <w:szCs w:val="28"/>
        </w:rPr>
        <w:t>– ст. 126 ТК РФ.</w:t>
      </w:r>
    </w:p>
    <w:p w:rsidR="00875E99" w:rsidRPr="003151C3" w:rsidRDefault="00AE3B08" w:rsidP="003151C3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450C7">
        <w:rPr>
          <w:rFonts w:ascii="Times New Roman" w:hAnsi="Times New Roman" w:cs="Times New Roman"/>
          <w:sz w:val="28"/>
          <w:szCs w:val="28"/>
          <w:lang w:eastAsia="ru-RU"/>
        </w:rPr>
        <w:t>Уволить несовершеннолетнего по инициативе работодателя есть возможность только по согласию местной комиссии по делам несовершеннолетних.</w:t>
      </w:r>
    </w:p>
    <w:sectPr w:rsidR="00875E99" w:rsidRPr="003151C3" w:rsidSect="0087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E3B08"/>
    <w:rsid w:val="001A75F0"/>
    <w:rsid w:val="001B3708"/>
    <w:rsid w:val="001D3CAA"/>
    <w:rsid w:val="00243317"/>
    <w:rsid w:val="00247142"/>
    <w:rsid w:val="0026718D"/>
    <w:rsid w:val="003151C3"/>
    <w:rsid w:val="003454FA"/>
    <w:rsid w:val="005D4B71"/>
    <w:rsid w:val="006106CD"/>
    <w:rsid w:val="00641D81"/>
    <w:rsid w:val="006450C7"/>
    <w:rsid w:val="006551D1"/>
    <w:rsid w:val="00667185"/>
    <w:rsid w:val="0067729C"/>
    <w:rsid w:val="00875E99"/>
    <w:rsid w:val="008D2DB9"/>
    <w:rsid w:val="009A02AA"/>
    <w:rsid w:val="009E1A2D"/>
    <w:rsid w:val="00AE3B08"/>
    <w:rsid w:val="00B82C59"/>
    <w:rsid w:val="00C57619"/>
    <w:rsid w:val="00C8363A"/>
    <w:rsid w:val="00D0090B"/>
    <w:rsid w:val="00D23BD4"/>
    <w:rsid w:val="00D255DD"/>
    <w:rsid w:val="00D8557D"/>
    <w:rsid w:val="00DB2454"/>
    <w:rsid w:val="00E30CBF"/>
    <w:rsid w:val="00E96FBF"/>
    <w:rsid w:val="00F37F49"/>
    <w:rsid w:val="00FA3122"/>
    <w:rsid w:val="00F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9"/>
  </w:style>
  <w:style w:type="paragraph" w:styleId="1">
    <w:name w:val="heading 1"/>
    <w:basedOn w:val="a"/>
    <w:next w:val="a"/>
    <w:link w:val="10"/>
    <w:uiPriority w:val="9"/>
    <w:qFormat/>
    <w:rsid w:val="0064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AE3B08"/>
  </w:style>
  <w:style w:type="paragraph" w:customStyle="1" w:styleId="lead">
    <w:name w:val="lead"/>
    <w:basedOn w:val="a"/>
    <w:rsid w:val="00AE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B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450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75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674">
          <w:marLeft w:val="0"/>
          <w:marRight w:val="0"/>
          <w:marTop w:val="75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426">
          <w:marLeft w:val="0"/>
          <w:marRight w:val="299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bukaprav.com/ohrana-truda/instruktazh/vvodnyj/povtorniy-po-o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ukaprav.com/ohrana-truda/instruktazh/vneplanovyj/tselevoy-instr-po-ot.html" TargetMode="External"/><Relationship Id="rId5" Type="http://schemas.openxmlformats.org/officeDocument/2006/relationships/hyperlink" Target="https://azbukaprav.com/ohrana-truda/instruktazh/pervichnyj/pervichniy-po-ot.html" TargetMode="External"/><Relationship Id="rId4" Type="http://schemas.openxmlformats.org/officeDocument/2006/relationships/hyperlink" Target="https://azbukaprav.com/ohrana-truda/instruktazh/vvodnyj/pravila-provedeniya-v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2021-02-12T06:33:00Z</dcterms:created>
  <dcterms:modified xsi:type="dcterms:W3CDTF">2021-06-03T08:06:00Z</dcterms:modified>
</cp:coreProperties>
</file>